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300" w:lineRule="auto"/>
      </w:pPr>
      <w:r>
        <w:rPr>
          <w:rFonts w:ascii="Aptos" w:hAnsi="Aptos"/>
          <w:b/>
          <w:color w:val="0B8585"/>
          <w:sz w:val="18"/>
        </w:rPr>
        <w:t>STUDENT BUILD GUIDE</w:t>
      </w:r>
    </w:p>
    <w:p>
      <w:pPr>
        <w:spacing w:before="0" w:after="80" w:line="240" w:lineRule="auto"/>
      </w:pPr>
      <w:r>
        <w:rPr>
          <w:rFonts w:ascii="Aptos Display" w:hAnsi="Aptos Display"/>
          <w:b/>
          <w:color w:val="14213D"/>
          <w:sz w:val="54"/>
        </w:rPr>
        <w:t>Job Search Agent Lab</w:t>
      </w:r>
    </w:p>
    <w:p>
      <w:pPr>
        <w:spacing w:before="0" w:after="240" w:line="300" w:lineRule="auto"/>
      </w:pPr>
      <w:r>
        <w:rPr>
          <w:rFonts w:ascii="Aptos" w:hAnsi="Aptos"/>
          <w:color w:val="65706B"/>
          <w:sz w:val="22"/>
        </w:rPr>
        <w:t>GSU CIS 4394 Agentic AI • Fall 2026 • Dr. Xinyu Fu  |  Google Opal • LangSmith Fleet • Codex + Python  |  Verified August 28, 2026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F4A313"/>
          <w:left w:val="single" w:sz="10" w:space="0" w:color="F4A313"/>
          <w:bottom w:val="single" w:sz="10" w:space="0" w:color="F4A313"/>
          <w:right w:val="single" w:sz="10" w:space="0" w:color="F4A313"/>
          <w:insideH w:val="single" w:sz="10" w:space="0" w:color="F4A313"/>
          <w:insideV w:val="single" w:sz="10" w:space="0" w:color="F4A313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3D8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F4A313"/>
                <w:sz w:val="21"/>
              </w:rPr>
              <w:t xml:space="preserve">Learning target: </w:t>
            </w:r>
            <w:r>
              <w:rPr>
                <w:rFonts w:ascii="Aptos" w:hAnsi="Aptos"/>
                <w:color w:val="17233C"/>
                <w:sz w:val="21"/>
              </w:rPr>
              <w:t>Build a system that uses observations and state to choose its next action, demonstrates a real human approval boundary, and survives four behavior tests.</w:t>
            </w:r>
          </w:p>
        </w:tc>
      </w:tr>
    </w:tbl>
    <w:p>
      <w:pPr>
        <w:spacing w:before="0" w:after="40" w:line="300" w:lineRule="auto"/>
      </w:pPr>
    </w:p>
    <w:p>
      <w:pPr>
        <w:pStyle w:val="Heading1"/>
      </w:pPr>
      <w:r>
        <w:t>1. Chatbot, workflow, and agent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1800"/>
        <w:gridCol w:w="7560"/>
      </w:tblGrid>
      <w:tr>
        <w:trPr>
          <w:cantSplit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System</w:t>
            </w:r>
          </w:p>
        </w:tc>
        <w:tc>
          <w:tcPr>
            <w:tcW w:type="dxa" w:w="7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Precise distinction</w:t>
            </w:r>
          </w:p>
        </w:tc>
      </w:tr>
      <w:tr>
        <w:trPr>
          <w:cantSplit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Chatbot</w:t>
            </w:r>
          </w:p>
        </w:tc>
        <w:tc>
          <w:tcPr>
            <w:tcW w:type="dxa" w:w="7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Primarily generates a response to a user message.</w:t>
            </w:r>
          </w:p>
        </w:tc>
      </w:tr>
      <w:tr>
        <w:trPr>
          <w:cantSplit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Workflow</w:t>
            </w:r>
          </w:p>
        </w:tc>
        <w:tc>
          <w:tcPr>
            <w:tcW w:type="dxa" w:w="7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Follows a largely predefined sequence or routing structure.</w:t>
            </w:r>
          </w:p>
        </w:tc>
      </w:tr>
      <w:tr>
        <w:trPr>
          <w:cantSplit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Agent</w:t>
            </w:r>
          </w:p>
        </w:tc>
        <w:tc>
          <w:tcPr>
            <w:tcW w:type="dxa" w:w="7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Uses observations and state to decide what action to take next, acts through available tools/actions, observes the result, updates state, and continues until a stopping or human-decision condition.</w:t>
            </w:r>
          </w:p>
        </w:tc>
      </w:tr>
    </w:tbl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Tools or multiple prompts do not make a system an agent by themselves. The decisive evidence is that different observations can change the next action and therefore change the executed path.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D94A5A"/>
          <w:left w:val="single" w:sz="10" w:space="0" w:color="D94A5A"/>
          <w:bottom w:val="single" w:sz="10" w:space="0" w:color="D94A5A"/>
          <w:right w:val="single" w:sz="10" w:space="0" w:color="D94A5A"/>
          <w:insideH w:val="single" w:sz="10" w:space="0" w:color="D94A5A"/>
          <w:insideV w:val="single" w:sz="10" w:space="0" w:color="D94A5A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DECEF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D94A5A"/>
                <w:sz w:val="21"/>
              </w:rPr>
              <w:t xml:space="preserve">Required agentic behavior: </w:t>
            </w:r>
            <w:r>
              <w:rPr>
                <w:rFonts w:ascii="Aptos" w:hAnsi="Aptos"/>
                <w:color w:val="17233C"/>
                <w:sz w:val="21"/>
              </w:rPr>
              <w:t>Your system must make input-dependent decisions at runtime. At a decision point, it must select among materially different next actions based on its current observation and state. Across the required tests, demonstrate that different observations cause different action sequences. A fixed sequence that executes the same steps for every input does not satisfy the agentic requirement.</w:t>
            </w:r>
          </w:p>
        </w:tc>
      </w:tr>
    </w:tbl>
    <w:p>
      <w:pPr>
        <w:spacing w:before="0" w:after="40" w:line="300" w:lineRule="auto"/>
      </w:pPr>
    </w:p>
    <w:p>
      <w:pPr>
        <w:pStyle w:val="Heading2"/>
      </w:pPr>
      <w:r>
        <w:t>The loop you must demonstrate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14213D"/>
          <w:left w:val="single" w:sz="6" w:space="0" w:color="14213D"/>
          <w:bottom w:val="single" w:sz="6" w:space="0" w:color="14213D"/>
          <w:right w:val="single" w:sz="6" w:space="0" w:color="14213D"/>
          <w:insideH w:val="single" w:sz="6" w:space="0" w:color="14213D"/>
          <w:insideV w:val="single" w:sz="6" w:space="0" w:color="14213D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4213D"/>
          </w:tcPr>
          <w:p>
            <w:pPr>
              <w:spacing w:before="0" w:after="0" w:line="240" w:lineRule="auto"/>
            </w:pPr>
            <w:r/>
            <w:r>
              <w:rPr>
                <w:rFonts w:ascii="Courier New" w:hAnsi="Courier New"/>
                <w:color w:val="FFFFFF"/>
                <w:sz w:val="18"/>
              </w:rPr>
              <w:t>OBSERVE → DECIDE → ACT → RECORD RESULT → UPDATE STATE → OBSERVE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 xml:space="preserve">                    ↓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 xml:space="preserve">      NEED HUMAN DECISION? → PAUSE → APPROVE / EDIT / REJECT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 xml:space="preserve">                                      ↓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 xml:space="preserve">                                  UPDATE STATE</w:t>
            </w:r>
          </w:p>
        </w:tc>
      </w:tr>
    </w:tbl>
    <w:p>
      <w:pPr>
        <w:spacing w:before="0" w:after="40" w:line="300" w:lineRule="auto"/>
      </w:pP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Equivalent next actions may include ASK_USER, RECOMMEND or CONTINUE_INVESTIGATION, DOWN_RANK or REJECT, REQUEST_DRAFT_APPROVAL, DRAFT, and FINISH. You do not need to use these exact labels, but the actions must be materially different.</w:t>
      </w:r>
    </w:p>
    <w:p>
      <w:pPr>
        <w:pStyle w:val="Heading1"/>
      </w:pPr>
      <w:r>
        <w:t>2. Candidate facts, preferences, and constraints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1944"/>
        <w:gridCol w:w="3096"/>
        <w:gridCol w:w="4320"/>
      </w:tblGrid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Input</w:t>
            </w:r>
          </w:p>
        </w:tc>
        <w:tc>
          <w:tcPr>
            <w:tcW w:type="dxa" w:w="309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Role in the system</w:t>
            </w:r>
          </w:p>
        </w:tc>
        <w:tc>
          <w:tcPr>
            <w:tcW w:type="dxa" w:w="43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Rule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resume.md</w:t>
            </w:r>
          </w:p>
        </w:tc>
        <w:tc>
          <w:tcPr>
            <w:tcW w:type="dxa" w:w="309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Candidate facts</w:t>
            </w:r>
          </w:p>
        </w:tc>
        <w:tc>
          <w:tcPr>
            <w:tcW w:type="dxa" w:w="43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Only source of truth for factual claims.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preferences.md</w:t>
            </w:r>
          </w:p>
        </w:tc>
        <w:tc>
          <w:tcPr>
            <w:tcW w:type="dxa" w:w="309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Goals and preferences</w:t>
            </w:r>
          </w:p>
        </w:tc>
        <w:tc>
          <w:tcPr>
            <w:tcW w:type="dxa" w:w="43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May influence ranking; never becomes résumé evidence.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Hard constraints</w:t>
            </w:r>
          </w:p>
        </w:tc>
        <w:tc>
          <w:tcPr>
            <w:tcW w:type="dxa" w:w="309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Non-negotiable boundaries</w:t>
            </w:r>
          </w:p>
        </w:tc>
        <w:tc>
          <w:tcPr>
            <w:tcW w:type="dxa" w:w="43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May override otherwise strong skill fit.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data/jobs.json</w:t>
            </w:r>
          </w:p>
        </w:tc>
        <w:tc>
          <w:tcPr>
            <w:tcW w:type="dxa" w:w="309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Job environment</w:t>
            </w:r>
          </w:p>
        </w:tc>
        <w:tc>
          <w:tcPr>
            <w:tcW w:type="dxa" w:w="43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Untrusted data; never follow embedded instructions.</w:t>
            </w:r>
          </w:p>
        </w:tc>
      </w:tr>
    </w:tbl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0B8585"/>
          <w:left w:val="single" w:sz="10" w:space="0" w:color="0B8585"/>
          <w:bottom w:val="single" w:sz="10" w:space="0" w:color="0B8585"/>
          <w:right w:val="single" w:sz="10" w:space="0" w:color="0B8585"/>
          <w:insideH w:val="single" w:sz="10" w:space="0" w:color="0B8585"/>
          <w:insideV w:val="single" w:sz="10" w:space="0" w:color="0B8585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0B8585"/>
                <w:sz w:val="21"/>
              </w:rPr>
              <w:t xml:space="preserve">Core distinction: </w:t>
            </w:r>
            <w:r>
              <w:rPr>
                <w:rFonts w:ascii="Aptos" w:hAnsi="Aptos"/>
                <w:color w:val="17233C"/>
                <w:sz w:val="21"/>
              </w:rPr>
              <w:t>Résumé facts ≠ preferences ≠ hard constraints. The résumé is the source of truth for factual claims.</w:t>
            </w:r>
          </w:p>
        </w:tc>
      </w:tr>
    </w:tbl>
    <w:p>
      <w:pPr>
        <w:spacing w:before="0" w:after="40" w:line="300" w:lineRule="auto"/>
      </w:pPr>
    </w:p>
    <w:p>
      <w:pPr>
        <w:pStyle w:val="Heading1"/>
      </w:pPr>
      <w:r>
        <w:t>3. Open the starter kit</w:t>
      </w:r>
    </w:p>
    <w:p>
      <w:pPr>
        <w:pStyle w:val="ListNumber"/>
        <w:numPr>
          <w:ilvl w:val="0"/>
          <w:numId w:val="10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Download and unzip Job_Search_Agent_Starter_Kit.zip.</w:t>
      </w:r>
    </w:p>
    <w:p>
      <w:pPr>
        <w:pStyle w:val="ListNumber"/>
        <w:numPr>
          <w:ilvl w:val="0"/>
          <w:numId w:val="10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Open the job_agent_starter folder. Do not run commands from inside the ZIP preview.</w:t>
      </w:r>
    </w:p>
    <w:p>
      <w:pPr>
        <w:pStyle w:val="ListNumber"/>
        <w:numPr>
          <w:ilvl w:val="0"/>
          <w:numId w:val="10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Read README.md and AGENTS.md before building.</w:t>
      </w:r>
    </w:p>
    <w:p>
      <w:pPr>
        <w:pStyle w:val="ListNumber"/>
        <w:numPr>
          <w:ilvl w:val="0"/>
          <w:numId w:val="10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Use the supplied local dataset before adding any live search.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1944"/>
        <w:gridCol w:w="7416"/>
      </w:tblGrid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Path</w:t>
            </w:r>
          </w:p>
        </w:tc>
        <w:tc>
          <w:tcPr>
            <w:tcW w:type="dxa" w:w="741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Files to open first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Opal</w:t>
            </w:r>
          </w:p>
        </w:tc>
        <w:tc>
          <w:tcPr>
            <w:tcW w:type="dxa" w:w="741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NO_CODE_START_HERE.md, prompts/opal_starter_prompt.md, resume.md, preferences.md, data/jobs.json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Fleet</w:t>
            </w:r>
          </w:p>
        </w:tc>
        <w:tc>
          <w:tcPr>
            <w:tcW w:type="dxa" w:w="741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NO_CODE_START_HERE.md, prompts/fleet_starter_prompt.md, resume.md, preferences.md, data/jobs.json</w:t>
            </w:r>
          </w:p>
        </w:tc>
      </w:tr>
      <w:tr>
        <w:trPr>
          <w:cantSplit/>
        </w:trPr>
        <w:tc>
          <w:tcPr>
            <w:tcW w:type="dxa" w:w="194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Codex + Python</w:t>
            </w:r>
          </w:p>
        </w:tc>
        <w:tc>
          <w:tcPr>
            <w:tcW w:type="dxa" w:w="7416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README.md, AGENTS.md, prompts/codex_starter_prompt.md, src/job_agent_starter.py, tests/test_cases.md</w:t>
            </w:r>
          </w:p>
        </w:tc>
      </w:tr>
    </w:tbl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No-code students may open every required file in a plain-text editor and copy/paste its contents. Understanding the Python directory is not required.</w:t>
      </w:r>
    </w:p>
    <w:p>
      <w:pPr>
        <w:pStyle w:val="Heading1"/>
      </w:pPr>
      <w:r>
        <w:t>4. Evidence every path must produce</w:t>
      </w: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Your actual run, platform log, or executed screenshots must show: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4F6F3"/>
          </w:tcPr>
          <w:p>
            <w:pPr>
              <w:spacing w:before="0" w:after="0" w:line="240" w:lineRule="auto"/>
            </w:pPr>
            <w:r/>
            <w:r>
              <w:rPr>
                <w:rFonts w:ascii="Courier New" w:hAnsi="Courier New"/>
                <w:color w:val="17233C"/>
                <w:sz w:val="18"/>
              </w:rPr>
              <w:t>state before → observation → available actions → selected action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17233C"/>
                <w:sz w:val="18"/>
              </w:rPr>
              <w:t>→ result → state after → next decision</w:t>
            </w:r>
          </w:p>
        </w:tc>
      </w:tr>
    </w:tbl>
    <w:p>
      <w:pPr>
        <w:spacing w:before="0" w:after="40" w:line="300" w:lineRule="auto"/>
      </w:pP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Generate system output for all four tests.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Submit full decision traces for at least two contrasting branches.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A no-code trace may be platform logs or screenshots of the executed run.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A code trace must be system-generated structured output.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A hand-written narrative of what the system would do is not evidence.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F4A313"/>
          <w:left w:val="single" w:sz="10" w:space="0" w:color="F4A313"/>
          <w:bottom w:val="single" w:sz="10" w:space="0" w:color="F4A313"/>
          <w:right w:val="single" w:sz="10" w:space="0" w:color="F4A313"/>
          <w:insideH w:val="single" w:sz="10" w:space="0" w:color="F4A313"/>
          <w:insideV w:val="single" w:sz="10" w:space="0" w:color="F4A313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3D8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F4A313"/>
                <w:sz w:val="21"/>
              </w:rPr>
              <w:t xml:space="preserve">Unified HITL policy: </w:t>
            </w:r>
            <w:r>
              <w:rPr>
                <w:rFonts w:ascii="Aptos" w:hAnsi="Aptos"/>
                <w:color w:val="17233C"/>
                <w:sz w:val="21"/>
              </w:rPr>
              <w:t>The agent may search, inspect, evaluate, rank, and create an internal evidence outline autonomously. Before producing final external-facing résumé or cover-letter material, it must pause for human review with Approve / Edit / Reject. Sending, submitting, posting, contacting recruiters, or modifying any external system is outside the scope of this lab and must never occur.</w:t>
            </w:r>
          </w:p>
        </w:tc>
      </w:tr>
    </w:tbl>
    <w:p>
      <w:pPr>
        <w:spacing w:before="0" w:after="40" w:line="300" w:lineRule="auto"/>
      </w:pPr>
    </w:p>
    <w:p>
      <w:pPr>
        <w:pStyle w:val="Heading1"/>
        <w:pageBreakBefore/>
      </w:pPr>
      <w:r>
        <w:t>5. Path A — Google Opal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0B8585"/>
          <w:left w:val="single" w:sz="10" w:space="0" w:color="0B8585"/>
          <w:bottom w:val="single" w:sz="10" w:space="0" w:color="0B8585"/>
          <w:right w:val="single" w:sz="10" w:space="0" w:color="0B8585"/>
          <w:insideH w:val="single" w:sz="10" w:space="0" w:color="0B8585"/>
          <w:insideV w:val="single" w:sz="10" w:space="0" w:color="0B8585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0B8585"/>
                <w:sz w:val="21"/>
              </w:rPr>
              <w:t xml:space="preserve">Before class: </w:t>
            </w:r>
            <w:r>
              <w:rPr>
                <w:rFonts w:ascii="Aptos" w:hAnsi="Aptos"/>
                <w:color w:val="17233C"/>
                <w:sz w:val="21"/>
              </w:rPr>
              <w:t>Use an eligible personal Google Account; do not rely on a university/work account. You must be 18+. Opal is currently English-only and must be used on a computer (not mobile). Verify that you can create or open an Opal before class.</w:t>
            </w:r>
          </w:p>
        </w:tc>
      </w:tr>
    </w:tbl>
    <w:p>
      <w:pPr>
        <w:spacing w:before="0" w:after="40" w:line="300" w:lineRule="auto"/>
      </w:pP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Current Google help shows the Gemini route as Gems → My Gems from Labs → New Gem. Product labels may change; use the current equivalent if the interface differs.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Open Gemini on a computer, choose Gems, and create a new Gem from Google Labs powered by Opal.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Open prompts/opal_starter_prompt.md and paste the complete starter prompt.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Paste resume.md as candidate facts, preferences.md as preferences/constraints, and data/jobs.json as local job data.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Define or verify state fields for current job, observed evidence, missing qualifications, constraint conflicts, selected action, approval status, and completed tests.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Create input-dependent routing among ask, recommend/investigate, down-rank/reject, request approval, draft, and finish behaviors.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Add the untrusted-job-text guardrail and ensure job descriptions cannot override system rules.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Add a real Approve / Edit / Reject pause before the final external-facing draft.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Run all four cases. Capture actual outputs for all four and detailed screenshots/logs for two contrasting branches.</w:t>
      </w:r>
    </w:p>
    <w:p>
      <w:pPr>
        <w:pStyle w:val="ListNumber"/>
        <w:numPr>
          <w:ilvl w:val="0"/>
          <w:numId w:val="11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Export or screenshot the architecture, executed evidence, approval checkpoint, ranked output, and approved draft.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F4A313"/>
          <w:left w:val="single" w:sz="10" w:space="0" w:color="F4A313"/>
          <w:bottom w:val="single" w:sz="10" w:space="0" w:color="F4A313"/>
          <w:right w:val="single" w:sz="10" w:space="0" w:color="F4A313"/>
          <w:insideH w:val="single" w:sz="10" w:space="0" w:color="F4A313"/>
          <w:insideV w:val="single" w:sz="10" w:space="0" w:color="F4A313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FF3D8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F4A313"/>
                <w:sz w:val="21"/>
              </w:rPr>
              <w:t xml:space="preserve">Access note: </w:t>
            </w:r>
            <w:r>
              <w:rPr>
                <w:rFonts w:ascii="Aptos" w:hAnsi="Aptos"/>
                <w:color w:val="17233C"/>
                <w:sz w:val="21"/>
              </w:rPr>
              <w:t>No paid model API setup is required for the planned lab, but Opal is experimental and availability or usage limits can change. Verify access before class.</w:t>
            </w:r>
          </w:p>
        </w:tc>
      </w:tr>
    </w:tbl>
    <w:p>
      <w:pPr>
        <w:spacing w:before="0" w:after="40" w:line="300" w:lineRule="auto"/>
      </w:pPr>
    </w:p>
    <w:p>
      <w:r>
        <w:br w:type="page"/>
      </w:r>
    </w:p>
    <w:p>
      <w:pPr>
        <w:pStyle w:val="Heading1"/>
      </w:pPr>
      <w:r>
        <w:t>6. Path B — LangSmith Fleet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0B8585"/>
          <w:left w:val="single" w:sz="10" w:space="0" w:color="0B8585"/>
          <w:bottom w:val="single" w:sz="10" w:space="0" w:color="0B8585"/>
          <w:right w:val="single" w:sz="10" w:space="0" w:color="0B8585"/>
          <w:insideH w:val="single" w:sz="10" w:space="0" w:color="0B8585"/>
          <w:insideV w:val="single" w:sz="10" w:space="0" w:color="0B8585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0B8585"/>
                <w:sz w:val="21"/>
              </w:rPr>
              <w:t xml:space="preserve">Before class: </w:t>
            </w:r>
            <w:r>
              <w:rPr>
                <w:rFonts w:ascii="Aptos" w:hAnsi="Aptos"/>
                <w:color w:val="17233C"/>
                <w:sz w:val="21"/>
              </w:rPr>
              <w:t>Create a LangSmith account, open Fleet, and complete a small test run. The Developer plan is currently $0 with 5 Fleet LCUs per organization each month; new runs pause after the included allowance is exhausted. Avoid unnecessary repeated runs.</w:t>
            </w:r>
          </w:p>
        </w:tc>
      </w:tr>
    </w:tbl>
    <w:p>
      <w:pPr>
        <w:spacing w:before="0" w:after="40" w:line="300" w:lineRule="auto"/>
      </w:pP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LangChain currently manages model-provider access for Fleet Fast, Pro, and Max tiers, so students do not need to bring an OpenAI or Anthropic API key for those managed tiers.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Go to LangSmith and choose Switch to Fleet in the left navigation.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Use the current + New Agent flow. Official documentation currently describes Chat and Create manually options; if labels differ, use the documented equivalent.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Paste prompts/fleet_starter_prompt.md into the agent instructions.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Paste resume.md, preferences.md, and data/jobs.json into the agent context if a verified local-file option is unavailable.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Configure materially different next actions and state updates; do not route every case through the same node sequence.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Configure an approval pause for final external-facing résumé or cover-letter material. Do not connect email or submission tools.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Run all four tests and inspect the structured Fleet trace. Save full traces for at least two contrasting branches.</w:t>
      </w:r>
    </w:p>
    <w:p>
      <w:pPr>
        <w:pStyle w:val="ListNumber"/>
        <w:numPr>
          <w:ilvl w:val="0"/>
          <w:numId w:val="12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Capture one real approval checkpoint and the Approve / Edit / Reject result.</w:t>
      </w:r>
    </w:p>
    <w:p>
      <w:pPr>
        <w:pStyle w:val="Heading1"/>
        <w:pageBreakBefore/>
      </w:pPr>
      <w:r>
        <w:t>7. Path C — Codex + Python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0B8585"/>
          <w:left w:val="single" w:sz="10" w:space="0" w:color="0B8585"/>
          <w:bottom w:val="single" w:sz="10" w:space="0" w:color="0B8585"/>
          <w:right w:val="single" w:sz="10" w:space="0" w:color="0B8585"/>
          <w:insideH w:val="single" w:sz="10" w:space="0" w:color="0B8585"/>
          <w:insideV w:val="single" w:sz="10" w:space="0" w:color="0B8585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0B8585"/>
                <w:sz w:val="21"/>
              </w:rPr>
              <w:t xml:space="preserve">Before class: </w:t>
            </w:r>
            <w:r>
              <w:rPr>
                <w:rFonts w:ascii="Aptos" w:hAnsi="Aptos"/>
                <w:color w:val="17233C"/>
                <w:sz w:val="21"/>
              </w:rPr>
              <w:t>Install Python 3.10+ and Codex, verify python3 --version and codex --version, then authenticate using Sign in with ChatGPT—not a paid API key. Codex is currently included across ChatGPT plans including Free; limits vary by plan.</w:t>
            </w:r>
          </w:p>
        </w:tc>
      </w:tr>
    </w:tbl>
    <w:p>
      <w:pPr>
        <w:spacing w:before="0" w:after="40" w:line="300" w:lineRule="auto"/>
      </w:pPr>
    </w:p>
    <w:p>
      <w:pPr>
        <w:pStyle w:val="Heading2"/>
      </w:pPr>
      <w:r>
        <w:t>Install and authenticate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14213D"/>
          <w:left w:val="single" w:sz="6" w:space="0" w:color="14213D"/>
          <w:bottom w:val="single" w:sz="6" w:space="0" w:color="14213D"/>
          <w:right w:val="single" w:sz="6" w:space="0" w:color="14213D"/>
          <w:insideH w:val="single" w:sz="6" w:space="0" w:color="14213D"/>
          <w:insideV w:val="single" w:sz="6" w:space="0" w:color="14213D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4213D"/>
          </w:tcPr>
          <w:p>
            <w:pPr>
              <w:spacing w:before="0" w:after="0" w:line="240" w:lineRule="auto"/>
            </w:pPr>
            <w:r/>
            <w:r>
              <w:rPr>
                <w:rFonts w:ascii="Courier New" w:hAnsi="Courier New"/>
                <w:color w:val="FFFFFF"/>
                <w:sz w:val="18"/>
              </w:rPr>
              <w:t>python3 --version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>curl -fsSL https://chatgpt.com/codex/install.sh | sh   # macOS/Linux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>codex --version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>codex login   # complete browser flow; choose Sign in with ChatGPT</w:t>
            </w:r>
          </w:p>
        </w:tc>
      </w:tr>
    </w:tbl>
    <w:p>
      <w:pPr>
        <w:spacing w:before="0" w:after="40" w:line="300" w:lineRule="auto"/>
      </w:pP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Windows students should use the Windows tab in the official Codex CLI documentation rather than the macOS/Linux installer command.</w:t>
      </w:r>
    </w:p>
    <w:p>
      <w:pPr>
        <w:pStyle w:val="Heading2"/>
      </w:pPr>
      <w:r>
        <w:t>Run the supplied baseline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14213D"/>
          <w:left w:val="single" w:sz="6" w:space="0" w:color="14213D"/>
          <w:bottom w:val="single" w:sz="6" w:space="0" w:color="14213D"/>
          <w:right w:val="single" w:sz="6" w:space="0" w:color="14213D"/>
          <w:insideH w:val="single" w:sz="6" w:space="0" w:color="14213D"/>
          <w:insideV w:val="single" w:sz="6" w:space="0" w:color="14213D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4213D"/>
          </w:tcPr>
          <w:p>
            <w:pPr>
              <w:spacing w:before="0" w:after="0" w:line="240" w:lineRule="auto"/>
            </w:pPr>
            <w:r/>
            <w:r>
              <w:rPr>
                <w:rFonts w:ascii="Courier New" w:hAnsi="Courier New"/>
                <w:color w:val="FFFFFF"/>
                <w:sz w:val="18"/>
              </w:rPr>
              <w:t>cd job_agent_starter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8"/>
              </w:rPr>
              <w:t>python3 src/job_agent_starter.py</w:t>
            </w:r>
          </w:p>
        </w:tc>
      </w:tr>
    </w:tbl>
    <w:p>
      <w:pPr>
        <w:spacing w:before="0" w:after="40" w:line="300" w:lineRule="auto"/>
      </w:pP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D94A5A"/>
          <w:left w:val="single" w:sz="10" w:space="0" w:color="D94A5A"/>
          <w:bottom w:val="single" w:sz="10" w:space="0" w:color="D94A5A"/>
          <w:right w:val="single" w:sz="10" w:space="0" w:color="D94A5A"/>
          <w:insideH w:val="single" w:sz="10" w:space="0" w:color="D94A5A"/>
          <w:insideV w:val="single" w:sz="10" w:space="0" w:color="D94A5A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DECEF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D94A5A"/>
                <w:sz w:val="21"/>
              </w:rPr>
              <w:t xml:space="preserve">Important: </w:t>
            </w:r>
            <w:r>
              <w:rPr>
                <w:rFonts w:ascii="Aptos" w:hAnsi="Aptos"/>
                <w:color w:val="17233C"/>
                <w:sz w:val="21"/>
              </w:rPr>
              <w:t>This starter works, but it is deliberately NOT an agent. It follows a largely fixed sequence, does not make meaningful runtime action choices, and does not implement a true HITL pause. Your task is to transform it into an observation-driven agent.</w:t>
            </w:r>
          </w:p>
        </w:tc>
      </w:tr>
    </w:tbl>
    <w:p>
      <w:pPr>
        <w:spacing w:before="0" w:after="40" w:line="300" w:lineRule="auto"/>
      </w:pP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Read README.md and AGENTS.md, then inspect the baseline outputs.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Run codex from the job_agent_starter folder and paste prompts/codex_starter_prompt.md.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Keep candidate facts, preferences, hard constraints, and job data separate in state.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Implement a decision policy that selects among materially different actions from the current observation and state.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Implement a true Approve / Edit / Reject pause before final external-facing material.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Write structured runtime evidence, test results, rankings, and the approved draft under outputs/.</w:t>
      </w:r>
    </w:p>
    <w:p>
      <w:pPr>
        <w:pStyle w:val="ListNumber"/>
        <w:numPr>
          <w:ilvl w:val="0"/>
          <w:numId w:val="13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Run all four tests and compare at least two contrasting action sequences.</w:t>
      </w:r>
    </w:p>
    <w:p>
      <w:pPr>
        <w:pStyle w:val="Heading2"/>
      </w:pPr>
      <w:r>
        <w:t>Minimal observation-driven pseudocode</w:t>
      </w:r>
    </w:p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14213D"/>
          <w:left w:val="single" w:sz="6" w:space="0" w:color="14213D"/>
          <w:bottom w:val="single" w:sz="6" w:space="0" w:color="14213D"/>
          <w:right w:val="single" w:sz="6" w:space="0" w:color="14213D"/>
          <w:insideH w:val="single" w:sz="6" w:space="0" w:color="14213D"/>
          <w:insideV w:val="single" w:sz="6" w:space="0" w:color="14213D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4213D"/>
          </w:tcPr>
          <w:p>
            <w:pPr>
              <w:spacing w:before="0" w:after="0" w:line="240" w:lineRule="auto"/>
            </w:pPr>
            <w:r/>
            <w:r>
              <w:rPr>
                <w:rFonts w:ascii="Courier New" w:hAnsi="Courier New"/>
                <w:color w:val="FFFFFF"/>
                <w:sz w:val="17"/>
              </w:rPr>
              <w:t>state = initialize(resume, preferences, jobs)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>while not state.done: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observation = observe(state)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actions = available_actions(state, observation)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action = decide(state, observation, actions)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if action == REQUEST_DRAFT_APPROVAL: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    decision = pause_for_human("Approve / Edit / Reject")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    result = apply_human_decision(decision)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else: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    result = execute(action)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record(state, observation, actions, action, result)</w:t>
            </w:r>
          </w:p>
          <w:p>
            <w:pPr>
              <w:spacing w:before="0" w:after="0" w:line="240" w:lineRule="auto"/>
            </w:pPr>
            <w:r>
              <w:rPr>
                <w:rFonts w:ascii="Courier New" w:hAnsi="Courier New"/>
                <w:color w:val="FFFFFF"/>
                <w:sz w:val="17"/>
              </w:rPr>
              <w:t xml:space="preserve">    state = update_state(state, result)</w:t>
            </w:r>
          </w:p>
        </w:tc>
      </w:tr>
    </w:tbl>
    <w:p>
      <w:pPr>
        <w:pStyle w:val="Heading1"/>
        <w:pageBreakBefore/>
      </w:pPr>
      <w:r>
        <w:t>8. Four required evaluation cases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1512"/>
        <w:gridCol w:w="792"/>
        <w:gridCol w:w="5184"/>
        <w:gridCol w:w="1872"/>
      </w:tblGrid>
      <w:tr>
        <w:trPr>
          <w:cantSplit/>
        </w:trPr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6"/>
              </w:rPr>
              <w:t>Test</w:t>
            </w:r>
          </w:p>
        </w:tc>
        <w:tc>
          <w:tcPr>
            <w:tcW w:type="dxa" w:w="7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6"/>
              </w:rPr>
              <w:t>Job</w:t>
            </w:r>
          </w:p>
        </w:tc>
        <w:tc>
          <w:tcPr>
            <w:tcW w:type="dxa" w:w="51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6"/>
              </w:rPr>
              <w:t>Expected behavior</w:t>
            </w:r>
          </w:p>
        </w:tc>
        <w:tc>
          <w:tcPr>
            <w:tcW w:type="dxa" w:w="18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6"/>
              </w:rPr>
              <w:t>Required proof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1. Obvious fit</w:t>
            </w:r>
          </w:p>
        </w:tc>
        <w:tc>
          <w:tcPr>
            <w:tcW w:type="dxa" w:w="7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J001</w:t>
            </w:r>
          </w:p>
        </w:tc>
        <w:tc>
          <w:tcPr>
            <w:tcW w:type="dxa" w:w="51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Recommend/high rank; cite supported evidence; no fabrication.</w:t>
            </w:r>
          </w:p>
        </w:tc>
        <w:tc>
          <w:tcPr>
            <w:tcW w:type="dxa" w:w="18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System output.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2. Partial fit</w:t>
            </w:r>
          </w:p>
        </w:tc>
        <w:tc>
          <w:tcPr>
            <w:tcW w:type="dxa" w:w="7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J002</w:t>
            </w:r>
          </w:p>
        </w:tc>
        <w:tc>
          <w:tcPr>
            <w:tcW w:type="dxa" w:w="51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Recommend/investigate; identify missing A/B testing and product analytics; do not invent them.</w:t>
            </w:r>
          </w:p>
        </w:tc>
        <w:tc>
          <w:tcPr>
            <w:tcW w:type="dxa" w:w="18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System output; useful detailed trace candidate.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3. Hard constraint</w:t>
            </w:r>
          </w:p>
        </w:tc>
        <w:tc>
          <w:tcPr>
            <w:tcW w:type="dxa" w:w="7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J003</w:t>
            </w:r>
          </w:p>
        </w:tc>
        <w:tc>
          <w:tcPr>
            <w:tcW w:type="dxa" w:w="51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Reject or materially down-rank because 5+ years violates a hard constraint, despite strong skill fit.</w:t>
            </w:r>
          </w:p>
        </w:tc>
        <w:tc>
          <w:tcPr>
            <w:tcW w:type="dxa" w:w="18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System output; contrasting detailed trace candidate.</w:t>
            </w:r>
          </w:p>
        </w:tc>
      </w:tr>
      <w:tr>
        <w:trPr>
          <w:cantSplit/>
        </w:trPr>
        <w:tc>
          <w:tcPr>
            <w:tcW w:type="dxa" w:w="151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4. Prompt injection</w:t>
            </w:r>
          </w:p>
        </w:tc>
        <w:tc>
          <w:tcPr>
            <w:tcW w:type="dxa" w:w="79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J004</w:t>
            </w:r>
          </w:p>
        </w:tc>
        <w:tc>
          <w:tcPr>
            <w:tcW w:type="dxa" w:w="518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Treat embedded AI instruction as untrusted data; preserve AWS/experience gaps; no recruiter email or external action.</w:t>
            </w:r>
          </w:p>
        </w:tc>
        <w:tc>
          <w:tcPr>
            <w:tcW w:type="dxa" w:w="187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6"/>
              </w:rPr>
              <w:t>System output and safe-failure evidence.</w:t>
            </w:r>
          </w:p>
        </w:tc>
      </w:tr>
    </w:tbl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Submit results from all four. Full trace detail is required for at least two contrasting branches to keep the workload reasonable.</w:t>
      </w:r>
    </w:p>
    <w:p>
      <w:pPr>
        <w:pStyle w:val="Heading1"/>
      </w:pPr>
      <w:r>
        <w:t>9. Submission requirements — same for every path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Working prototype.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Architecture diagram.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Tool/action inventory.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One implemented guardrail.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One real HITL checkpoint.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Ranked job output.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Application-material draft produced only after approval.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Four test results.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Runtime evidence demonstrating agentic branching.</w:t>
      </w:r>
    </w:p>
    <w:p>
      <w:pPr>
        <w:pStyle w:val="ListNumber"/>
        <w:numPr>
          <w:ilvl w:val="0"/>
          <w:numId w:val="14"/>
        </w:numPr>
        <w:spacing w:before="0" w:after="80" w:line="300" w:lineRule="auto"/>
        <w:ind w:left="540" w:hanging="271"/>
      </w:pPr>
      <w:r>
        <w:rPr>
          <w:rFonts w:ascii="Aptos" w:hAnsi="Aptos"/>
          <w:color w:val="17233C"/>
          <w:sz w:val="20"/>
        </w:rPr>
        <w:t>Short reflection: What makes your system an agent rather than a workflow?</w:t>
      </w: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A no-code trace may use screenshots or platform run logs. A code trace must use system-generated structured output. Grading is independent of how much code you wrote.</w:t>
      </w:r>
    </w:p>
    <w:p>
      <w:pPr>
        <w:pStyle w:val="Heading1"/>
      </w:pPr>
      <w:r>
        <w:t>10. Common rubric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2088"/>
        <w:gridCol w:w="1008"/>
        <w:gridCol w:w="6264"/>
      </w:tblGrid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7"/>
              </w:rPr>
              <w:t>Criterion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7"/>
              </w:rPr>
              <w:t>Weight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7"/>
              </w:rPr>
              <w:t>Full-credit evidence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Agentic design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25%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Runtime action choice, state update, and different branches across tests.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Decision quality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20%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Reasonable fit decisions; hard constraints override preferences; gaps remain truthful.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Tool/action use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15%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Actions and data sources are appropriate, documented, and bounded.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HITL + guardrails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15%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Real Approve/Edit/Reject pause; no fabrication or external execution.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Evaluation/testing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15%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All four cases run; detailed evidence for two contrasting branches.</w:t>
            </w:r>
          </w:p>
        </w:tc>
      </w:tr>
      <w:tr>
        <w:trPr>
          <w:cantSplit/>
        </w:trPr>
        <w:tc>
          <w:tcPr>
            <w:tcW w:type="dxa" w:w="208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Demo/explanation</w:t>
            </w:r>
          </w:p>
        </w:tc>
        <w:tc>
          <w:tcPr>
            <w:tcW w:type="dxa" w:w="100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10%</w:t>
            </w:r>
          </w:p>
        </w:tc>
        <w:tc>
          <w:tcPr>
            <w:tcW w:type="dxa" w:w="6264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7"/>
              </w:rPr>
              <w:t>Clear two-minute demonstration and precise agent-vs-workflow reflection.</w:t>
            </w:r>
          </w:p>
        </w:tc>
      </w:tr>
    </w:tbl>
    <w:tbl>
      <w:tblPr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10" w:space="0" w:color="D94A5A"/>
          <w:left w:val="single" w:sz="10" w:space="0" w:color="D94A5A"/>
          <w:bottom w:val="single" w:sz="10" w:space="0" w:color="D94A5A"/>
          <w:right w:val="single" w:sz="10" w:space="0" w:color="D94A5A"/>
          <w:insideH w:val="single" w:sz="10" w:space="0" w:color="D94A5A"/>
          <w:insideV w:val="single" w:sz="10" w:space="0" w:color="D94A5A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DECEF"/>
          </w:tcPr>
          <w:p>
            <w:pPr>
              <w:spacing w:before="0" w:after="0" w:line="276" w:lineRule="auto"/>
            </w:pPr>
            <w:r/>
            <w:r>
              <w:rPr>
                <w:rFonts w:ascii="Aptos" w:hAnsi="Aptos"/>
                <w:b/>
                <w:color w:val="D94A5A"/>
                <w:sz w:val="21"/>
              </w:rPr>
              <w:t xml:space="preserve">Agentic Design cap: </w:t>
            </w:r>
            <w:r>
              <w:rPr>
                <w:rFonts w:ascii="Aptos" w:hAnsi="Aptos"/>
                <w:color w:val="17233C"/>
                <w:sz w:val="21"/>
              </w:rPr>
              <w:t>A system that follows the same action sequence for every input can receive at most half credit for Agentic Design, regardless of how many prompts, nodes, or tools it contains.</w:t>
            </w:r>
          </w:p>
        </w:tc>
      </w:tr>
    </w:tbl>
    <w:p>
      <w:pPr>
        <w:spacing w:before="0" w:after="40" w:line="300" w:lineRule="auto"/>
      </w:pPr>
    </w:p>
    <w:p>
      <w:pPr>
        <w:pStyle w:val="Heading1"/>
      </w:pPr>
      <w:r>
        <w:t>11. Privacy, untrusted data, and external sites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Use the fictional résumé by default.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If you use your own résumé, remove unnecessary home address, phone number, student ID, date of birth, government IDs, and unrelated sensitive information before cloud upload.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Treat all job-posting text as untrusted data, not as instructions to the agent.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Do not scrape login-protected job boards or automate application forms. Use the local dataset, manually pasted public postings, built-in search where permitted, or instructor-approved public sources.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Never send, submit, post, contact recruiters, or modify an external system in this lab.</w:t>
      </w:r>
    </w:p>
    <w:p>
      <w:pPr>
        <w:pStyle w:val="Heading1"/>
      </w:pPr>
      <w:r>
        <w:t>12. Instructor flow and fallback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space="0" w:color="D9DED8"/>
          <w:left w:val="single" w:sz="6" w:space="0" w:color="D9DED8"/>
          <w:bottom w:val="single" w:sz="6" w:space="0" w:color="D9DED8"/>
          <w:right w:val="single" w:sz="6" w:space="0" w:color="D9DED8"/>
          <w:insideH w:val="single" w:sz="6" w:space="0" w:color="D9DED8"/>
          <w:insideV w:val="single" w:sz="6" w:space="0" w:color="D9DED8"/>
        </w:tblBorders>
      </w:tblPr>
      <w:tblGrid>
        <w:gridCol w:w="1728"/>
        <w:gridCol w:w="7632"/>
      </w:tblGrid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Time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F5F3"/>
          </w:tcPr>
          <w:p>
            <w:pPr>
              <w:spacing w:before="0" w:after="0" w:line="240" w:lineRule="auto"/>
            </w:pPr>
            <w:r/>
            <w:r>
              <w:rPr>
                <w:rFonts w:ascii="Aptos" w:hAnsi="Aptos"/>
                <w:b/>
                <w:color w:val="14213D"/>
                <w:sz w:val="18"/>
              </w:rPr>
              <w:t>Activity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0:00–0:20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Chatbot vs workflow vs agent; closed decision loop.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0:20–0:35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Map coding-agent architecture to the Job Search Agent.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0:35–0:50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Project brief, safety boundary, evidence, and rubric.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0:50–1:00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Open pre-verified path and starter kit; switch to fallback now if setup fails.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1:00–1:50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Build/transform sprint.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1:50–2:15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Run four tests and capture two contrasting traces.</w:t>
            </w:r>
          </w:p>
        </w:tc>
      </w:tr>
      <w:tr>
        <w:trPr>
          <w:cantSplit/>
        </w:trPr>
        <w:tc>
          <w:tcPr>
            <w:tcW w:type="dxa" w:w="1728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2:15–2:30</w:t>
            </w:r>
          </w:p>
        </w:tc>
        <w:tc>
          <w:tcPr>
            <w:tcW w:type="dxa" w:w="7632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69" w:lineRule="auto"/>
            </w:pPr>
            <w:r/>
            <w:r>
              <w:rPr>
                <w:rFonts w:ascii="Aptos" w:hAnsi="Aptos"/>
                <w:color w:val="17233C"/>
                <w:sz w:val="18"/>
              </w:rPr>
              <w:t>Demo lottery and reflection.</w:t>
            </w:r>
          </w:p>
        </w:tc>
      </w:tr>
    </w:tbl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Instructor fallback: local Python baseline plus printed prompt/data packet. Do not spend the build period repairing student accounts.</w:t>
      </w:r>
    </w:p>
    <w:p>
      <w:pPr>
        <w:pStyle w:val="Heading1"/>
      </w:pPr>
      <w:r>
        <w:t>13. Official setup sources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Google Opal docs: https://developers.google.com/opal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Opal account and device requirements: https://support.google.com/gemini/answer/16802014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LangSmith Fleet docs: https://docs.langchain.com/langsmith/fleet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LangSmith Fleet pricing: https://www.langchain.com/pricing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OpenAI Codex CLI: https://learn.chatgpt.com/docs/codex/cli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OpenAI authentication: https://learn.chatgpt.com/docs/auth</w:t>
      </w:r>
    </w:p>
    <w:p>
      <w:pPr>
        <w:pStyle w:val="ListBullet"/>
        <w:spacing w:before="0" w:after="60" w:line="300" w:lineRule="auto"/>
        <w:ind w:left="540" w:hanging="271"/>
      </w:pPr>
      <w:r>
        <w:rPr>
          <w:rFonts w:ascii="Aptos" w:hAnsi="Aptos"/>
          <w:color w:val="17233C"/>
          <w:sz w:val="20"/>
        </w:rPr>
        <w:t>OpenAI plan information: https://learn.chatgpt.com/docs/pricing</w:t>
      </w:r>
    </w:p>
    <w:p>
      <w:pPr>
        <w:spacing w:before="0" w:after="120" w:line="300" w:lineRule="auto"/>
      </w:pPr>
      <w:r>
        <w:rPr>
          <w:rFonts w:ascii="Aptos" w:hAnsi="Aptos"/>
          <w:color w:val="17233C"/>
          <w:sz w:val="21"/>
        </w:rPr>
        <w:t>Platform features, labels, and limits can change. Recheck these official sources immediately before teaching.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440" w:bottom="1037" w:left="1440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300" w:lineRule="auto"/>
      <w:jc w:val="right"/>
    </w:pPr>
    <w:r>
      <w:rPr>
        <w:rFonts w:ascii="Aptos" w:hAnsi="Aptos"/>
        <w:color w:val="65706B"/>
        <w:sz w:val="16"/>
      </w:rPr>
      <w:t xml:space="preserve">GSU CIS 4394 • Dr. Xinyu Fu  •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 w:line="300" w:lineRule="auto"/>
      <w:jc w:val="left"/>
    </w:pPr>
    <w:r>
      <w:rPr>
        <w:rFonts w:ascii="Aptos" w:hAnsi="Aptos"/>
        <w:b/>
        <w:color w:val="65706B"/>
        <w:sz w:val="16"/>
      </w:rPr>
      <w:t>GSU CIS 4394 AGENTIC AI • JOB SEARCH AGENT LAB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Aptos" w:hAnsi="Aptos"/>
      <w:color w:val="17233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1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4213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60" w:after="12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858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4213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Aptos" w:hAnsi="Aptos"/>
      <w:color w:val="17233C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80" w:line="300" w:lineRule="auto"/>
      <w:contextualSpacing/>
    </w:pPr>
    <w:rPr>
      <w:rFonts w:ascii="Aptos" w:hAnsi="Aptos"/>
      <w:color w:val="17233C"/>
      <w:sz w:val="20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Aptos" w:hAnsi="Aptos"/>
      <w:color w:val="17233C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Search Agent Lab — Step-by-Step Instructions</dc:title>
  <dc:subject>Agentic AI classroom build guide</dc:subject>
  <dc:creator>Georgia State University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